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Statement of Work</w:t>
      </w:r>
    </w:p>
    <w:p>
      <w:pPr>
        <w:pStyle w:val="Subtitle"/>
      </w:pPr>
      <w:r>
        <w:t xml:space="preserve">V5 Ultimate — enterprise implementation services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rPr>
          <w:tblHeader/>
        </w:trP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Value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SOW number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SOW-[YYYY]-[NNN]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[Legal entity]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Supplier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S.G. Systems, LLC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Effective date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[Date]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Governing agreement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Master Subscription Agreement (v5ultimate.com/legal/msa)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Deployment addendum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On-Premises Licence Addendum (v5ultimate.com/legal/on-prem-addendum) — on-prem only</w:t>
            </w:r>
          </w:p>
        </w:tc>
      </w:tr>
      <w:tr>
        <w:tc>
          <w:tcPr>
            <w:tcW w:type="dxa" w:w="312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Term</w:t>
            </w:r>
          </w:p>
        </w:tc>
        <w:tc>
          <w:tcPr>
            <w:tcW w:type="dxa" w:w="62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Services complete on final go-live sign-off. Subscription / M&amp;S renews annually per MSA / Addendum.</w:t>
            </w:r>
          </w:p>
        </w:tc>
      </w:tr>
    </w:tbl>
    <w:p>
      <w:pPr>
        <w:pStyle w:val="Heading1"/>
      </w:pPr>
      <w:r>
        <w:t xml:space="preserve">1. Background</w:t>
      </w:r>
    </w:p>
    <w:p>
      <w:r>
        <w:t xml:space="preserve">This Statement of Work ("SOW") is issued under the Master Subscription Agreement ("MSA") between Customer and S.G. Systems, LLC ("Supplier") and, for on-premises or private-cloud deployments, the On-Premises Licence Addendum. In any conflict, the order of precedence is: this SOW, the Addendum (if applicable), the MSA, the Terms of Service.</w:t>
      </w:r>
    </w:p>
    <w:p>
      <w:pPr>
        <w:pStyle w:val="Heading1"/>
      </w:pPr>
      <w:r>
        <w:t xml:space="preserve">2. Scope of services</w:t>
      </w:r>
    </w:p>
    <w:p>
      <w:r>
        <w:t xml:space="preserve">Supplier will deliver the implementation services described in the attached Enterprise Implementation Plan ("the Plan"), covering:</w:t>
      </w:r>
    </w:p>
    <w:p>
      <w:pPr>
        <w:pStyle w:val="ListParagraph"/>
        <w:numPr>
          <w:ilvl w:val="0"/>
          <w:numId w:val="2"/>
        </w:numPr>
      </w:pPr>
      <w:r>
        <w:t xml:space="preserve">Discovery and regulatory mapping across the sites listed in Schedule A.</w:t>
      </w:r>
    </w:p>
    <w:p>
      <w:pPr>
        <w:pStyle w:val="ListParagraph"/>
        <w:numPr>
          <w:ilvl w:val="0"/>
          <w:numId w:val="2"/>
        </w:numPr>
      </w:pPr>
      <w:r>
        <w:t xml:space="preserve">Infrastructure enablement (SaaS tenant, or on-prem/private-cloud installation).</w:t>
      </w:r>
    </w:p>
    <w:p>
      <w:pPr>
        <w:pStyle w:val="ListParagraph"/>
        <w:numPr>
          <w:ilvl w:val="0"/>
          <w:numId w:val="2"/>
        </w:numPr>
      </w:pPr>
      <w:r>
        <w:t xml:space="preserve">Configuration of workflows, roles, electronic signatures and master-record templates.</w:t>
      </w:r>
    </w:p>
    <w:p>
      <w:pPr>
        <w:pStyle w:val="ListParagraph"/>
        <w:numPr>
          <w:ilvl w:val="0"/>
          <w:numId w:val="2"/>
        </w:numPr>
      </w:pPr>
      <w:r>
        <w:t xml:space="preserve">Delivery of IQ / OQ documentation packs and test scripts; remote assistance during Customer execution.</w:t>
      </w:r>
    </w:p>
    <w:p>
      <w:pPr>
        <w:pStyle w:val="ListParagraph"/>
        <w:numPr>
          <w:ilvl w:val="0"/>
          <w:numId w:val="2"/>
        </w:numPr>
      </w:pPr>
      <w:r>
        <w:t xml:space="preserve">Pilot-site PQ support and train-the-trainer certification for Customer trainers.</w:t>
      </w:r>
    </w:p>
    <w:p>
      <w:pPr>
        <w:pStyle w:val="ListParagraph"/>
        <w:numPr>
          <w:ilvl w:val="0"/>
          <w:numId w:val="2"/>
        </w:numPr>
      </w:pPr>
      <w:r>
        <w:t xml:space="preserve">Rollout support for each subsequent site in Schedule A and 30-day hypercare per site.</w:t>
      </w:r>
    </w:p>
    <w:p>
      <w:pPr>
        <w:pStyle w:val="ListParagraph"/>
        <w:numPr>
          <w:ilvl w:val="0"/>
          <w:numId w:val="2"/>
        </w:numPr>
      </w:pPr>
      <w:r>
        <w:t xml:space="preserve">Transition to steady state and quarterly business reviews.</w:t>
      </w:r>
    </w:p>
    <w:p>
      <w:pPr>
        <w:pStyle w:val="Heading1"/>
      </w:pPr>
      <w:r>
        <w:t xml:space="preserve">3. Deliverables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60"/>
        <w:gridCol w:w="2000"/>
        <w:gridCol w:w="3000"/>
      </w:tblGrid>
      <w:tr>
        <w:trPr>
          <w:tblHeader/>
        </w:trP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#</w:t>
            </w:r>
          </w:p>
        </w:tc>
        <w:tc>
          <w:tcPr>
            <w:tcW w:type="dxa" w:w="3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Deliverable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Format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Acceptance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D1</w:t>
            </w:r>
          </w:p>
        </w:tc>
        <w:tc>
          <w:tcPr>
            <w:tcW w:type="dxa" w:w="3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Regulatory strategy &amp; site sequencing plan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PDF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QA signature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D2</w:t>
            </w:r>
          </w:p>
        </w:tc>
        <w:tc>
          <w:tcPr>
            <w:tcW w:type="dxa" w:w="3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Architecture &amp; security review pack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PDF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IT signature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D3</w:t>
            </w:r>
          </w:p>
        </w:tc>
        <w:tc>
          <w:tcPr>
            <w:tcW w:type="dxa" w:w="3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IQ / OQ documentation pack and test scripts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PDF + scripts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QA signs OQ report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D4</w:t>
            </w:r>
          </w:p>
        </w:tc>
        <w:tc>
          <w:tcPr>
            <w:tcW w:type="dxa" w:w="3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Configured tenant / installed system (per site)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System access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PQ report signed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D5</w:t>
            </w:r>
          </w:p>
        </w:tc>
        <w:tc>
          <w:tcPr>
            <w:tcW w:type="dxa" w:w="3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Train-the-trainer certificates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PDF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Per-trainer sign-off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D6</w:t>
            </w:r>
          </w:p>
        </w:tc>
        <w:tc>
          <w:tcPr>
            <w:tcW w:type="dxa" w:w="3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Per-site go-live memo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PDF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QA + site lead signature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D7</w:t>
            </w:r>
          </w:p>
        </w:tc>
        <w:tc>
          <w:tcPr>
            <w:tcW w:type="dxa" w:w="3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Programme closure report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PDF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Steering committee acceptance</w:t>
            </w:r>
          </w:p>
        </w:tc>
      </w:tr>
    </w:tbl>
    <w:p>
      <w:pPr>
        <w:pStyle w:val="Heading1"/>
      </w:pPr>
      <w:r>
        <w:t xml:space="preserve">4. Acceptance criteria</w:t>
      </w:r>
    </w:p>
    <w:p>
      <w:r>
        <w:t xml:space="preserve">Each deliverable is deemed accepted when Customer signs the corresponding acceptance record or does not raise a written material defect within ten (10) business days of delivery. A "material defect" means a failure to conform to the criteria recorded against that deliverable in the Plan or in the OQ/PQ scripts.</w:t>
      </w:r>
    </w:p>
    <w:p>
      <w:pPr>
        <w:pStyle w:val="Heading1"/>
      </w:pPr>
      <w:r>
        <w:t xml:space="preserve">5. Customer responsibilities</w:t>
      </w:r>
    </w:p>
    <w:p>
      <w:pPr>
        <w:pStyle w:val="ListParagraph"/>
        <w:numPr>
          <w:ilvl w:val="0"/>
          <w:numId w:val="2"/>
        </w:numPr>
      </w:pPr>
      <w:r>
        <w:t xml:space="preserve">Nominate a programme sponsor, QA lead and IT/security lead with authority to approve deliverables.</w:t>
      </w:r>
    </w:p>
    <w:p>
      <w:pPr>
        <w:pStyle w:val="ListParagraph"/>
        <w:numPr>
          <w:ilvl w:val="0"/>
          <w:numId w:val="2"/>
        </w:numPr>
      </w:pPr>
      <w:r>
        <w:t xml:space="preserve">Provide master records, SOPs, training matrices and integration specifications in machine-readable form.</w:t>
      </w:r>
    </w:p>
    <w:p>
      <w:pPr>
        <w:pStyle w:val="ListParagraph"/>
        <w:numPr>
          <w:ilvl w:val="0"/>
          <w:numId w:val="2"/>
        </w:numPr>
      </w:pPr>
      <w:r>
        <w:t xml:space="preserve">Execute IQ, OQ and PQ scripts in Customer environment(s), with Supplier remote assistance.</w:t>
      </w:r>
    </w:p>
    <w:p>
      <w:pPr>
        <w:pStyle w:val="ListParagraph"/>
        <w:numPr>
          <w:ilvl w:val="0"/>
          <w:numId w:val="2"/>
        </w:numPr>
      </w:pPr>
      <w:r>
        <w:t xml:space="preserve">Provide access to sites and systems required for rollout, on reasonable notice.</w:t>
      </w:r>
    </w:p>
    <w:p>
      <w:pPr>
        <w:pStyle w:val="ListParagraph"/>
        <w:numPr>
          <w:ilvl w:val="0"/>
          <w:numId w:val="2"/>
        </w:numPr>
      </w:pPr>
      <w:r>
        <w:t xml:space="preserve">Approve or reject deliverables within the acceptance window in §4.</w:t>
      </w:r>
    </w:p>
    <w:p>
      <w:pPr>
        <w:pStyle w:val="Heading1"/>
      </w:pPr>
      <w:r>
        <w:t xml:space="preserve">6. Supplier responsibilities</w:t>
      </w:r>
    </w:p>
    <w:p>
      <w:pPr>
        <w:pStyle w:val="ListParagraph"/>
        <w:numPr>
          <w:ilvl w:val="0"/>
          <w:numId w:val="2"/>
        </w:numPr>
      </w:pPr>
      <w:r>
        <w:t xml:space="preserve">Assign a named programme lead and CSM for the duration of the engagement.</w:t>
      </w:r>
    </w:p>
    <w:p>
      <w:pPr>
        <w:pStyle w:val="ListParagraph"/>
        <w:numPr>
          <w:ilvl w:val="0"/>
          <w:numId w:val="2"/>
        </w:numPr>
      </w:pPr>
      <w:r>
        <w:t xml:space="preserve">Deliver the artefacts in §3 to the standards in the Plan.</w:t>
      </w:r>
    </w:p>
    <w:p>
      <w:pPr>
        <w:pStyle w:val="ListParagraph"/>
        <w:numPr>
          <w:ilvl w:val="0"/>
          <w:numId w:val="2"/>
        </w:numPr>
      </w:pPr>
      <w:r>
        <w:t xml:space="preserve">Provide 24/7 named escalation during hypercare and steady state.</w:t>
      </w:r>
    </w:p>
    <w:p>
      <w:pPr>
        <w:pStyle w:val="ListParagraph"/>
        <w:numPr>
          <w:ilvl w:val="0"/>
          <w:numId w:val="2"/>
        </w:numPr>
      </w:pPr>
      <w:r>
        <w:t xml:space="preserve">Maintain the deviation log and drive discrepancies to closure before each phase gate.</w:t>
      </w:r>
    </w:p>
    <w:p>
      <w:pPr>
        <w:pStyle w:val="Heading1"/>
      </w:pPr>
      <w:r>
        <w:t xml:space="preserve">7. Fees &amp; payment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1760"/>
        <w:gridCol w:w="3000"/>
      </w:tblGrid>
      <w:tr>
        <w:trPr>
          <w:tblHeader/>
        </w:trP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Basis</w:t>
            </w:r>
          </w:p>
        </w:tc>
        <w:tc>
          <w:tcPr>
            <w:tcW w:type="dxa" w:w="1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Amount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Invoicing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Implementation services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Fixed fee</w:t>
            </w:r>
          </w:p>
        </w:tc>
        <w:tc>
          <w:tcPr>
            <w:tcW w:type="dxa" w:w="1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[Amount]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25% on signature · 25% at OQ · 25% at pilot go-live · 25% at programme closure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Subscription (SaaS)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Per site / seat, annual</w:t>
            </w:r>
          </w:p>
        </w:tc>
        <w:tc>
          <w:tcPr>
            <w:tcW w:type="dxa" w:w="1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Per Order Form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Annually in advance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Licence + M&amp;S (on-prem)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Per site, annual M&amp;S renewal</w:t>
            </w:r>
          </w:p>
        </w:tc>
        <w:tc>
          <w:tcPr>
            <w:tcW w:type="dxa" w:w="1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Per Order Form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Annually in advance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Travel &amp; expenses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At cost, pre-approved</w:t>
            </w:r>
          </w:p>
        </w:tc>
        <w:tc>
          <w:tcPr>
            <w:tcW w:type="dxa" w:w="17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T&amp;E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Monthly, in arrears</w:t>
            </w:r>
          </w:p>
        </w:tc>
      </w:tr>
    </w:tbl>
    <w:p>
      <w:r>
        <w:t xml:space="preserve"/>
      </w:r>
    </w:p>
    <w:p>
      <w:r>
        <w:t xml:space="preserve">All fees are exclusive of applicable taxes. Payment terms per MSA §7 (Net 30 unless stated otherwise on the Order Form).</w:t>
      </w:r>
    </w:p>
    <w:p>
      <w:pPr>
        <w:pStyle w:val="Heading1"/>
      </w:pPr>
      <w:r>
        <w:t xml:space="preserve">8. Change control</w:t>
      </w:r>
    </w:p>
    <w:p>
      <w:r>
        <w:t xml:space="preserve">Changes to scope, deliverables, timeline or fees must be recorded in a written Change Request signed by both parties. Work under the Change Request begins only after signature. Emergency changes follow the fast-track procedure in the Plan.</w:t>
      </w:r>
    </w:p>
    <w:p>
      <w:pPr>
        <w:pStyle w:val="Heading1"/>
      </w:pPr>
      <w:r>
        <w:t xml:space="preserve">9. Assumptions &amp; dependencies</w:t>
      </w:r>
    </w:p>
    <w:p>
      <w:pPr>
        <w:pStyle w:val="ListParagraph"/>
        <w:numPr>
          <w:ilvl w:val="0"/>
          <w:numId w:val="2"/>
        </w:numPr>
      </w:pPr>
      <w:r>
        <w:t xml:space="preserve">Customer QA has decision authority on regulatory strategy and validation acceptance.</w:t>
      </w:r>
    </w:p>
    <w:p>
      <w:pPr>
        <w:pStyle w:val="ListParagraph"/>
        <w:numPr>
          <w:ilvl w:val="0"/>
          <w:numId w:val="2"/>
        </w:numPr>
      </w:pPr>
      <w:r>
        <w:t xml:space="preserve">Site infrastructure meets the On-Premises Deployment Specification (on-prem only).</w:t>
      </w:r>
    </w:p>
    <w:p>
      <w:pPr>
        <w:pStyle w:val="ListParagraph"/>
        <w:numPr>
          <w:ilvl w:val="0"/>
          <w:numId w:val="2"/>
        </w:numPr>
      </w:pPr>
      <w:r>
        <w:t xml:space="preserve">Supplier's IQ/OQ pack is the baseline; Customer-authored additions are Customer-owned.</w:t>
      </w:r>
    </w:p>
    <w:p>
      <w:pPr>
        <w:pStyle w:val="ListParagraph"/>
        <w:numPr>
          <w:ilvl w:val="0"/>
          <w:numId w:val="2"/>
        </w:numPr>
      </w:pPr>
      <w:r>
        <w:t xml:space="preserve">Programme duration assumes continuous access to Customer stakeholders per the RACI in the Plan.</w:t>
      </w:r>
    </w:p>
    <w:p>
      <w:pPr>
        <w:pStyle w:val="Heading1"/>
      </w:pPr>
      <w:r>
        <w:t xml:space="preserve">10. Warranties &amp; liability</w:t>
      </w:r>
    </w:p>
    <w:p>
      <w:r>
        <w:t xml:space="preserve">Warranties, liability caps, indemnities, confidentiality and data-protection terms are governed by the MSA and, where applicable, the On-Premises Licence Addendum. Nothing in this SOW modifies those terms.</w:t>
      </w:r>
    </w:p>
    <w:p>
      <w:pPr>
        <w:pStyle w:val="Heading1"/>
      </w:pPr>
      <w:r>
        <w:t xml:space="preserve">11. Schedules</w:t>
      </w:r>
    </w:p>
    <w:p>
      <w:pPr>
        <w:pStyle w:val="Heading2"/>
      </w:pPr>
      <w:r>
        <w:t xml:space="preserve">Schedule A — Sites in scope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660"/>
        <w:gridCol w:w="2000"/>
        <w:gridCol w:w="2000"/>
      </w:tblGrid>
      <w:tr>
        <w:trPr>
          <w:tblHeader/>
        </w:trP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#</w:t>
            </w:r>
          </w:p>
        </w:tc>
        <w:tc>
          <w:tcPr>
            <w:tcW w:type="dxa" w:w="4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Site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Region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Go-live target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4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[Site — pilot]</w:t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4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dxa" w:w="4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dxa" w:w="46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2"/>
      </w:pPr>
      <w:r>
        <w:t xml:space="preserve">Schedule B — Named contacts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360"/>
        <w:gridCol w:w="2500"/>
        <w:gridCol w:w="1500"/>
      </w:tblGrid>
      <w:tr>
        <w:trPr>
          <w:tblHeader/>
        </w:trP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Email</w:t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Phone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— Programme sponsor</w:t>
            </w:r>
          </w:p>
        </w:tc>
        <w:tc>
          <w:tcPr>
            <w:tcW w:type="dxa" w:w="2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— QA head</w:t>
            </w:r>
          </w:p>
        </w:tc>
        <w:tc>
          <w:tcPr>
            <w:tcW w:type="dxa" w:w="2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Customer — IT / security lead</w:t>
            </w:r>
          </w:p>
        </w:tc>
        <w:tc>
          <w:tcPr>
            <w:tcW w:type="dxa" w:w="2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Supplier — Programme lead</w:t>
            </w:r>
          </w:p>
        </w:tc>
        <w:tc>
          <w:tcPr>
            <w:tcW w:type="dxa" w:w="2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Supplier — CSM</w:t>
            </w:r>
          </w:p>
        </w:tc>
        <w:tc>
          <w:tcPr>
            <w:tcW w:type="dxa" w:w="2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</w:pPr>
      <w:r>
        <w:t xml:space="preserve">12. Signatures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000"/>
        <w:gridCol w:w="2400"/>
        <w:gridCol w:w="1560"/>
      </w:tblGrid>
      <w:tr>
        <w:trPr>
          <w:tblHeader/>
        </w:trP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Party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Name / Title</w:t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1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3F4F6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For Customer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>For S.G. Systems, LLC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5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V5 Ultimate · Enterprise Implementation · Template — customer to complete before contract signature. </w:t>
    </w:r>
    <w:r>
      <w:rPr>
        <w:color w:val="6B7280"/>
        <w:sz w:val="18"/>
        <w:szCs w:val="18"/>
      </w:rPr>
      <w:t xml:space="preserve">Page </w:t>
    </w:r>
    <w:r>
      <w:rPr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Arial" w:cs="Arial" w:eastAsia="Arial" w:hAnsi="Arial"/>
      <w:b/>
      <w:bCs/>
      <w:color w:val="111827"/>
      <w:sz w:val="44"/>
      <w:szCs w:val="44"/>
    </w:rPr>
  </w:style>
  <w:style w:type="paragraph" w:styleId="Subtitle">
    <w:name w:val="Subtitle"/>
    <w:basedOn w:val="Normal"/>
    <w:next w:val="Normal"/>
    <w:qFormat/>
    <w:pPr>
      <w:spacing w:after="360" w:before="0"/>
    </w:pPr>
    <w:rPr>
      <w:rFonts w:ascii="Arial" w:cs="Arial" w:eastAsia="Arial" w:hAnsi="Arial"/>
      <w:color w:val="6B7280"/>
      <w:sz w:val="22"/>
      <w:szCs w:val="22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11827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37415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/tmp/V5-Ultimate-Enterprise-Implementation-SOW.docx</dc:title>
  <dc:creator>S.G. Systems, LLC</dc:creator>
  <cp:lastModifiedBy>Un-named</cp:lastModifiedBy>
  <cp:revision>1</cp:revision>
  <dcterms:created xsi:type="dcterms:W3CDTF">2026-07-16T17:28:47.734Z</dcterms:created>
  <dcterms:modified xsi:type="dcterms:W3CDTF">2026-07-16T17:28:47.734Z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