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Enterprise Implementation Plan</w:t>
      </w:r>
    </w:p>
    <w:p>
      <w:pPr>
        <w:pStyle w:val="Subtitle"/>
      </w:pPr>
      <w:r>
        <w:t xml:space="preserve">V5 Ultimate — multi-site programme for regulated manufacturers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rPr>
          <w:tblHeader/>
        </w:trP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Value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[Legal entity]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Programme sponsor (Customer)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[Name · Title · Email]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Programme lead (S.G. Systems)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[Name · Title · Email]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Deployment model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SaaS  ☐   On-premises  ☐   Private cloud  ☐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Regulatory scope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21 CFR Part 11 ☐  EU Annex 11 ☐  ISO 13485 ☐  21 CFR 820 ☐  EU MDR ☐  21 CFR 210/211 ☐  BRCGS / SQF / FSMA 204 ☐  ISO 22716 / MoCRA ☐  Other: ______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Sites in scope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[Site 1, Site 2, Site 3 …]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Programme duration (typical)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6–12 months (30–45 days per site after pilot)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Document version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0.1 draft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Last updated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[Date]</w:t>
            </w:r>
          </w:p>
        </w:tc>
      </w:tr>
    </w:tbl>
    <w:p>
      <w:pPr>
        <w:pStyle w:val="Heading1"/>
      </w:pPr>
      <w:r>
        <w:t xml:space="preserve">1. Programme summary</w:t>
      </w:r>
    </w:p>
    <w:p>
      <w:r>
        <w:t xml:space="preserve">This document is the master implementation plan for the V5 Ultimate enterprise rollout at [Customer]. It records scope, sequencing, RACI, milestones and acceptance criteria across all sites in scope. It is a working document — updated at each governance checkpoint and referenced from the Statement of Work.</w:t>
      </w:r>
    </w:p>
    <w:p>
      <w:pPr>
        <w:pStyle w:val="Heading1"/>
      </w:pPr>
      <w:r>
        <w:t xml:space="preserve">2. Governance &amp; RACI</w:t>
      </w:r>
    </w:p>
    <w:p>
      <w:pPr>
        <w:pStyle w:val="Heading2"/>
      </w:pPr>
      <w:r>
        <w:t xml:space="preserve">2.1 Steering committee</w:t>
      </w:r>
    </w:p>
    <w:p>
      <w:pPr>
        <w:pStyle w:val="ListParagraph"/>
        <w:numPr>
          <w:ilvl w:val="0"/>
          <w:numId w:val="2"/>
        </w:numPr>
      </w:pPr>
      <w:r>
        <w:t xml:space="preserve">Meets monthly during rollout, quarterly at steady state.</w:t>
      </w:r>
    </w:p>
    <w:p>
      <w:pPr>
        <w:pStyle w:val="ListParagraph"/>
        <w:numPr>
          <w:ilvl w:val="0"/>
          <w:numId w:val="2"/>
        </w:numPr>
      </w:pPr>
      <w:r>
        <w:t xml:space="preserve">Members: Customer programme sponsor, Customer QA head, Customer IT/security lead, S.G. Systems programme lead, S.G. Systems CSM.</w:t>
      </w:r>
    </w:p>
    <w:p>
      <w:pPr>
        <w:pStyle w:val="Heading2"/>
      </w:pPr>
      <w:r>
        <w:t xml:space="preserve">2.2 Change board</w:t>
      </w:r>
    </w:p>
    <w:p>
      <w:pPr>
        <w:pStyle w:val="ListParagraph"/>
        <w:numPr>
          <w:ilvl w:val="0"/>
          <w:numId w:val="2"/>
        </w:numPr>
      </w:pPr>
      <w:r>
        <w:t xml:space="preserve">Approves all changes to configuration, master records, and validated integrations after Phase 3.</w:t>
      </w:r>
    </w:p>
    <w:p>
      <w:pPr>
        <w:pStyle w:val="ListParagraph"/>
        <w:numPr>
          <w:ilvl w:val="0"/>
          <w:numId w:val="2"/>
        </w:numPr>
      </w:pPr>
      <w:r>
        <w:t xml:space="preserve">Chaired by Customer QA. S.G. Systems attends as advisor.</w:t>
      </w:r>
    </w:p>
    <w:p>
      <w:pPr>
        <w:pStyle w:val="Heading2"/>
      </w:pPr>
      <w:r>
        <w:t xml:space="preserve">2.3 RACI (summary)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000"/>
        <w:gridCol w:w="2000"/>
        <w:gridCol w:w="2000"/>
      </w:tblGrid>
      <w:tr>
        <w:trPr>
          <w:tblHeader/>
        </w:trP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Activity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Customer QA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Customer IT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S.G. Systems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Regulatory strategy &amp; mapping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 / 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 / C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Infrastructure &amp; network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I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 / 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Configuration &amp; master records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 / 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IQ / OQ execution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 / 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PQ / user acceptance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 / 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Train-the-trainer delivery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I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Cutover &amp; hypercare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Steady-state release cadence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</w:t>
            </w:r>
          </w:p>
        </w:tc>
      </w:tr>
    </w:tbl>
    <w:p>
      <w:r>
        <w:t xml:space="preserve"/>
      </w:r>
    </w:p>
    <w:p>
      <w:r>
        <w:rPr>
          <w:i/>
          <w:iCs/>
          <w:color w:val="6B7280"/>
          <w:sz w:val="20"/>
          <w:szCs w:val="20"/>
        </w:rPr>
        <w:t xml:space="preserve">Legend: R = Responsible · A = Accountable · C = Consulted · I = Informed</w:t>
      </w:r>
    </w:p>
    <w:p>
      <w:pPr>
        <w:pStyle w:val="Heading1"/>
      </w:pPr>
      <w:r>
        <w:t xml:space="preserve">3. Phased delivery</w:t>
      </w:r>
    </w:p>
    <w:p>
      <w:pPr>
        <w:pStyle w:val="Heading2"/>
      </w:pPr>
      <w:r>
        <w:t xml:space="preserve">Phase 01 — Discovery &amp; regulatory mapping (Weeks 1–2)</w:t>
      </w:r>
    </w:p>
    <w:p>
      <w:pPr>
        <w:pStyle w:val="Heading3"/>
      </w:pPr>
      <w:r>
        <w:t xml:space="preserve">Scope</w:t>
      </w:r>
    </w:p>
    <w:p>
      <w:pPr>
        <w:pStyle w:val="ListParagraph"/>
        <w:numPr>
          <w:ilvl w:val="0"/>
          <w:numId w:val="2"/>
        </w:numPr>
      </w:pPr>
      <w:r>
        <w:t xml:space="preserve">Site inventory, product families, master-record inventory, integration inventory.</w:t>
      </w:r>
    </w:p>
    <w:p>
      <w:pPr>
        <w:pStyle w:val="ListParagraph"/>
        <w:numPr>
          <w:ilvl w:val="0"/>
          <w:numId w:val="2"/>
        </w:numPr>
      </w:pPr>
      <w:r>
        <w:t xml:space="preserve">Regulatory strategy: Part 11 / Annex 11 posture, applicable standards, notified-body considerations.</w:t>
      </w:r>
    </w:p>
    <w:p>
      <w:pPr>
        <w:pStyle w:val="ListParagraph"/>
        <w:numPr>
          <w:ilvl w:val="0"/>
          <w:numId w:val="2"/>
        </w:numPr>
      </w:pPr>
      <w:r>
        <w:t xml:space="preserve">Data model workshop — batch, product, spec, deviation, CAPA, training.</w:t>
      </w:r>
    </w:p>
    <w:p>
      <w:pPr>
        <w:pStyle w:val="Heading3"/>
      </w:pPr>
      <w:r>
        <w:t xml:space="preserve">Sign-off gate</w:t>
      </w:r>
    </w:p>
    <w:p>
      <w:pPr>
        <w:pStyle w:val="ListParagraph"/>
        <w:numPr>
          <w:ilvl w:val="0"/>
          <w:numId w:val="2"/>
        </w:numPr>
      </w:pPr>
      <w:r>
        <w:t xml:space="preserve">Signed Regulatory Strategy document.</w:t>
      </w:r>
    </w:p>
    <w:p>
      <w:pPr>
        <w:pStyle w:val="ListParagraph"/>
        <w:numPr>
          <w:ilvl w:val="0"/>
          <w:numId w:val="2"/>
        </w:numPr>
      </w:pPr>
      <w:r>
        <w:t xml:space="preserve">Signed Site Sequencing plan.</w:t>
      </w:r>
    </w:p>
    <w:p>
      <w:pPr>
        <w:pStyle w:val="Heading2"/>
      </w:pPr>
      <w:r>
        <w:t xml:space="preserve">Phase 02 — Infrastructure &amp; security (Weeks 3–4)</w:t>
      </w:r>
    </w:p>
    <w:p>
      <w:pPr>
        <w:pStyle w:val="Heading3"/>
      </w:pPr>
      <w:r>
        <w:t xml:space="preserve">Scope</w:t>
      </w:r>
    </w:p>
    <w:p>
      <w:pPr>
        <w:pStyle w:val="ListParagraph"/>
        <w:numPr>
          <w:ilvl w:val="0"/>
          <w:numId w:val="2"/>
        </w:numPr>
      </w:pPr>
      <w:r>
        <w:t xml:space="preserve">SaaS: tenant provisioned, SSO/SCIM wired, IP allow-lists, data residency confirmed.</w:t>
      </w:r>
    </w:p>
    <w:p>
      <w:pPr>
        <w:pStyle w:val="ListParagraph"/>
        <w:numPr>
          <w:ilvl w:val="0"/>
          <w:numId w:val="2"/>
        </w:numPr>
      </w:pPr>
      <w:r>
        <w:t xml:space="preserve">On-prem / private cloud: infrastructure sized per the On-Premises Deployment Specification, appliance images delivered signed and offline-capable.</w:t>
      </w:r>
    </w:p>
    <w:p>
      <w:pPr>
        <w:pStyle w:val="ListParagraph"/>
        <w:numPr>
          <w:ilvl w:val="0"/>
          <w:numId w:val="2"/>
        </w:numPr>
      </w:pPr>
      <w:r>
        <w:t xml:space="preserve">Security review pack: SOC 2, pen-test summary, DPIA inputs, sub-processor list.</w:t>
      </w:r>
    </w:p>
    <w:p>
      <w:pPr>
        <w:pStyle w:val="Heading3"/>
      </w:pPr>
      <w:r>
        <w:t xml:space="preserve">Sign-off gate</w:t>
      </w:r>
    </w:p>
    <w:p>
      <w:pPr>
        <w:pStyle w:val="ListParagraph"/>
        <w:numPr>
          <w:ilvl w:val="0"/>
          <w:numId w:val="2"/>
        </w:numPr>
      </w:pPr>
      <w:r>
        <w:t xml:space="preserve">Customer IT / security sign-off on architecture and security review.</w:t>
      </w:r>
    </w:p>
    <w:p>
      <w:pPr>
        <w:pStyle w:val="Heading2"/>
      </w:pPr>
      <w:r>
        <w:t xml:space="preserve">Phase 03 — Configuration &amp; validation (Weeks 5–10)</w:t>
      </w:r>
    </w:p>
    <w:p>
      <w:pPr>
        <w:pStyle w:val="Heading3"/>
      </w:pPr>
      <w:r>
        <w:t xml:space="preserve">Scope</w:t>
      </w:r>
    </w:p>
    <w:p>
      <w:pPr>
        <w:pStyle w:val="ListParagraph"/>
        <w:numPr>
          <w:ilvl w:val="0"/>
          <w:numId w:val="2"/>
        </w:numPr>
      </w:pPr>
      <w:r>
        <w:t xml:space="preserve">Configure roles, workflows, electronic signatures, master-record templates.</w:t>
      </w:r>
    </w:p>
    <w:p>
      <w:pPr>
        <w:pStyle w:val="ListParagraph"/>
        <w:numPr>
          <w:ilvl w:val="0"/>
          <w:numId w:val="2"/>
        </w:numPr>
      </w:pPr>
      <w:r>
        <w:t xml:space="preserve">Author and execute IQ (installation) and OQ (operational) against the delivered test scripts.</w:t>
      </w:r>
    </w:p>
    <w:p>
      <w:pPr>
        <w:pStyle w:val="ListParagraph"/>
        <w:numPr>
          <w:ilvl w:val="0"/>
          <w:numId w:val="2"/>
        </w:numPr>
      </w:pPr>
      <w:r>
        <w:t xml:space="preserve">Deviation log maintained; every discrepancy tracked to closure before PQ.</w:t>
      </w:r>
    </w:p>
    <w:p>
      <w:pPr>
        <w:pStyle w:val="Heading3"/>
      </w:pPr>
      <w:r>
        <w:t xml:space="preserve">Sign-off gate</w:t>
      </w:r>
    </w:p>
    <w:p>
      <w:pPr>
        <w:pStyle w:val="ListParagraph"/>
        <w:numPr>
          <w:ilvl w:val="0"/>
          <w:numId w:val="2"/>
        </w:numPr>
      </w:pPr>
      <w:r>
        <w:t xml:space="preserve">Customer QA signs OQ report. Master-record revision baseline locked.</w:t>
      </w:r>
    </w:p>
    <w:p>
      <w:pPr>
        <w:pStyle w:val="Heading2"/>
      </w:pPr>
      <w:r>
        <w:t xml:space="preserve">Phase 04 — Pilot site + train-the-trainer (Weeks 11–14)</w:t>
      </w:r>
    </w:p>
    <w:p>
      <w:pPr>
        <w:pStyle w:val="Heading3"/>
      </w:pPr>
      <w:r>
        <w:t xml:space="preserve">Scope</w:t>
      </w:r>
    </w:p>
    <w:p>
      <w:pPr>
        <w:pStyle w:val="ListParagraph"/>
        <w:numPr>
          <w:ilvl w:val="0"/>
          <w:numId w:val="2"/>
        </w:numPr>
      </w:pPr>
      <w:r>
        <w:t xml:space="preserve">Pilot at Site 1: PQ (performance qualification) with production-representative batches.</w:t>
      </w:r>
    </w:p>
    <w:p>
      <w:pPr>
        <w:pStyle w:val="ListParagraph"/>
        <w:numPr>
          <w:ilvl w:val="0"/>
          <w:numId w:val="2"/>
        </w:numPr>
      </w:pPr>
      <w:r>
        <w:t xml:space="preserve">Train-the-trainer: certify 2–4 Customer trainers per region.</w:t>
      </w:r>
    </w:p>
    <w:p>
      <w:pPr>
        <w:pStyle w:val="ListParagraph"/>
        <w:numPr>
          <w:ilvl w:val="0"/>
          <w:numId w:val="2"/>
        </w:numPr>
      </w:pPr>
      <w:r>
        <w:t xml:space="preserve">Cutover playbook: fallback plan, comms, day-1 support roster.</w:t>
      </w:r>
    </w:p>
    <w:p>
      <w:pPr>
        <w:pStyle w:val="Heading3"/>
      </w:pPr>
      <w:r>
        <w:t xml:space="preserve">Sign-off gate</w:t>
      </w:r>
    </w:p>
    <w:p>
      <w:pPr>
        <w:pStyle w:val="ListParagraph"/>
        <w:numPr>
          <w:ilvl w:val="0"/>
          <w:numId w:val="2"/>
        </w:numPr>
      </w:pPr>
      <w:r>
        <w:t xml:space="preserve">Customer QA signs PQ report. Go-live decision recorded.</w:t>
      </w:r>
    </w:p>
    <w:p>
      <w:pPr>
        <w:pStyle w:val="Heading2"/>
      </w:pPr>
      <w:r>
        <w:t xml:space="preserve">Phase 05 — Rollout &amp; hypercare (30–45 days per additional site)</w:t>
      </w:r>
    </w:p>
    <w:p>
      <w:pPr>
        <w:pStyle w:val="Heading3"/>
      </w:pPr>
      <w:r>
        <w:t xml:space="preserve">Scope</w:t>
      </w:r>
    </w:p>
    <w:p>
      <w:pPr>
        <w:pStyle w:val="ListParagraph"/>
        <w:numPr>
          <w:ilvl w:val="0"/>
          <w:numId w:val="2"/>
        </w:numPr>
      </w:pPr>
      <w:r>
        <w:t xml:space="preserve">Repeat abbreviated IQ/OQ/PQ at each subsequent site. Regression pack re-run against locked master records.</w:t>
      </w:r>
    </w:p>
    <w:p>
      <w:pPr>
        <w:pStyle w:val="ListParagraph"/>
        <w:numPr>
          <w:ilvl w:val="0"/>
          <w:numId w:val="2"/>
        </w:numPr>
      </w:pPr>
      <w:r>
        <w:t xml:space="preserve">30-day hypercare per site: named engineer, daily standup, 24-hour issue turnaround.</w:t>
      </w:r>
    </w:p>
    <w:p>
      <w:pPr>
        <w:pStyle w:val="Heading3"/>
      </w:pPr>
      <w:r>
        <w:t xml:space="preserve">Sign-off gate</w:t>
      </w:r>
    </w:p>
    <w:p>
      <w:pPr>
        <w:pStyle w:val="ListParagraph"/>
        <w:numPr>
          <w:ilvl w:val="0"/>
          <w:numId w:val="2"/>
        </w:numPr>
      </w:pPr>
      <w:r>
        <w:t xml:space="preserve">Per-site go-live memo signed by Customer QA and local site lead.</w:t>
      </w:r>
    </w:p>
    <w:p>
      <w:pPr>
        <w:pStyle w:val="Heading2"/>
      </w:pPr>
      <w:r>
        <w:t xml:space="preserve">Phase 06 — Steady state</w:t>
      </w:r>
    </w:p>
    <w:p>
      <w:pPr>
        <w:pStyle w:val="Heading3"/>
      </w:pPr>
      <w:r>
        <w:t xml:space="preserve">Scope</w:t>
      </w:r>
    </w:p>
    <w:p>
      <w:pPr>
        <w:pStyle w:val="ListParagraph"/>
        <w:numPr>
          <w:ilvl w:val="0"/>
          <w:numId w:val="2"/>
        </w:numPr>
      </w:pPr>
      <w:r>
        <w:t xml:space="preserve">Quarterly business reviews. Release cadence aligned to change board.</w:t>
      </w:r>
    </w:p>
    <w:p>
      <w:pPr>
        <w:pStyle w:val="ListParagraph"/>
        <w:numPr>
          <w:ilvl w:val="0"/>
          <w:numId w:val="2"/>
        </w:numPr>
      </w:pPr>
      <w:r>
        <w:t xml:space="preserve">SaaS: subscription includes validated patches and regulatory updates (Part 11, Annex 11, evolving standards).</w:t>
      </w:r>
    </w:p>
    <w:p>
      <w:pPr>
        <w:pStyle w:val="ListParagraph"/>
        <w:numPr>
          <w:ilvl w:val="0"/>
          <w:numId w:val="2"/>
        </w:numPr>
      </w:pPr>
      <w:r>
        <w:t xml:space="preserve">On-prem: annual Maintenance &amp; Support renewal delivers the same updates plus refreshed IQ/OQ documentation packs.</w:t>
      </w:r>
    </w:p>
    <w:p>
      <w:pPr>
        <w:pStyle w:val="ListParagraph"/>
        <w:numPr>
          <w:ilvl w:val="0"/>
          <w:numId w:val="2"/>
        </w:numPr>
      </w:pPr>
      <w:r>
        <w:t xml:space="preserve">24/7 named escalation. Regulator / notified-body access on request.</w:t>
      </w:r>
    </w:p>
    <w:p>
      <w:pPr>
        <w:pStyle w:val="Heading1"/>
      </w:pPr>
      <w:r>
        <w:t xml:space="preserve">4. Milestones &amp; dates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000"/>
        <w:gridCol w:w="2000"/>
        <w:gridCol w:w="2000"/>
      </w:tblGrid>
      <w:tr>
        <w:trPr>
          <w:tblHeader/>
        </w:trP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Milestone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Planned date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Actual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Kickoff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Programme leads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Regulatory strategy signed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QA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Architecture signed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IT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OQ signed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QA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Pilot PQ signed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QA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Site 2 go-live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Site lead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Site N go-live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Site lead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Steady state entry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Steering committee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</w:pPr>
      <w:r>
        <w:t xml:space="preserve">5. Risks &amp; assumptions</w:t>
      </w:r>
    </w:p>
    <w:p>
      <w:pPr>
        <w:pStyle w:val="Heading3"/>
      </w:pPr>
      <w:r>
        <w:t xml:space="preserve">Assumptions</w:t>
      </w:r>
    </w:p>
    <w:p>
      <w:pPr>
        <w:pStyle w:val="ListParagraph"/>
        <w:numPr>
          <w:ilvl w:val="0"/>
          <w:numId w:val="2"/>
        </w:numPr>
      </w:pPr>
      <w:r>
        <w:t xml:space="preserve">Customer supplies existing master records, SOPs and training matrices in a machine-readable form.</w:t>
      </w:r>
    </w:p>
    <w:p>
      <w:pPr>
        <w:pStyle w:val="ListParagraph"/>
        <w:numPr>
          <w:ilvl w:val="0"/>
          <w:numId w:val="2"/>
        </w:numPr>
      </w:pPr>
      <w:r>
        <w:t xml:space="preserve">Customer QA has authority to sign IQ, OQ and PQ reports without external escalation.</w:t>
      </w:r>
    </w:p>
    <w:p>
      <w:pPr>
        <w:pStyle w:val="ListParagraph"/>
        <w:numPr>
          <w:ilvl w:val="0"/>
          <w:numId w:val="2"/>
        </w:numPr>
      </w:pPr>
      <w:r>
        <w:t xml:space="preserve">Site infrastructure meets the On-Premises Deployment Specification (on-prem only).</w:t>
      </w:r>
    </w:p>
    <w:p>
      <w:pPr>
        <w:pStyle w:val="Heading3"/>
      </w:pPr>
      <w:r>
        <w:t xml:space="preserve">Open risks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1600"/>
        <w:gridCol w:w="2800"/>
        <w:gridCol w:w="1600"/>
      </w:tblGrid>
      <w:tr>
        <w:trPr>
          <w:tblHeader/>
        </w:trP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Risk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Impact</w:t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Mitigation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Owner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</w:pPr>
      <w:r>
        <w:t xml:space="preserve">6. Change control</w:t>
      </w:r>
    </w:p>
    <w:p>
      <w:r>
        <w:t xml:space="preserve">Any change to scope, configuration baseline or validated integrations after Phase 3 sign-off must be raised as a Change Request, reviewed by the change board, and re-validated before deployment. Emergency changes follow the fast-track procedure recorded in the SOP pack.</w:t>
      </w:r>
    </w:p>
    <w:p>
      <w:pPr>
        <w:pStyle w:val="Heading1"/>
      </w:pPr>
      <w:r>
        <w:t xml:space="preserve">7. Sign-off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400"/>
        <w:gridCol w:w="2400"/>
        <w:gridCol w:w="1560"/>
      </w:tblGrid>
      <w:tr>
        <w:trPr>
          <w:tblHeader/>
        </w:trP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— Programme sponsor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— QA head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— IT / security lead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S.G. Systems — Programme lead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V5 Ultimate · Enterprise Implementation · Template — customer to complete before contract signature. </w:t>
    </w:r>
    <w:r>
      <w:rPr>
        <w:color w:val="6B7280"/>
        <w:sz w:val="18"/>
        <w:szCs w:val="18"/>
      </w:rPr>
      <w:t xml:space="preserve">Page </w:t>
    </w:r>
    <w:r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Arial" w:cs="Arial" w:eastAsia="Arial" w:hAnsi="Arial"/>
      <w:b/>
      <w:bCs/>
      <w:color w:val="111827"/>
      <w:sz w:val="44"/>
      <w:szCs w:val="44"/>
    </w:rPr>
  </w:style>
  <w:style w:type="paragraph" w:styleId="Subtitle">
    <w:name w:val="Subtitle"/>
    <w:basedOn w:val="Normal"/>
    <w:next w:val="Normal"/>
    <w:qFormat/>
    <w:pPr>
      <w:spacing w:after="360" w:before="0"/>
    </w:pPr>
    <w:rPr>
      <w:rFonts w:ascii="Arial" w:cs="Arial" w:eastAsia="Arial" w:hAnsi="Arial"/>
      <w:color w:val="6B7280"/>
      <w:sz w:val="22"/>
      <w:szCs w:val="22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11827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37415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/tmp/V5-Ultimate-Enterprise-Implementation-Plan.docx</dc:title>
  <dc:creator>S.G. Systems, LLC</dc:creator>
  <cp:lastModifiedBy>Un-named</cp:lastModifiedBy>
  <cp:revision>1</cp:revision>
  <dcterms:created xsi:type="dcterms:W3CDTF">2026-07-16T17:28:47.616Z</dcterms:created>
  <dcterms:modified xsi:type="dcterms:W3CDTF">2026-07-16T17:28:47.617Z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